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19" w:rsidRDefault="009A4E26">
      <w:r>
        <w:object w:dxaOrig="10872" w:dyaOrig="10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45pt;height:402.55pt" o:ole="">
            <v:imagedata r:id="rId7" o:title=""/>
          </v:shape>
          <o:OLEObject Type="Embed" ProgID="Visio.Drawing.11" ShapeID="_x0000_i1027" DrawAspect="Content" ObjectID="_1548166147" r:id="rId8"/>
        </w:object>
      </w:r>
    </w:p>
    <w:p w:rsidR="00B02433" w:rsidRDefault="00B02433"/>
    <w:p w:rsidR="00B02433" w:rsidRDefault="00B02433">
      <w:pPr>
        <w:widowControl/>
      </w:pPr>
      <w:r>
        <w:br w:type="page"/>
      </w:r>
    </w:p>
    <w:p w:rsidR="00B02433" w:rsidRDefault="00344ECA">
      <w:r>
        <w:object w:dxaOrig="10204" w:dyaOrig="15633">
          <v:shape id="_x0000_i1026" type="#_x0000_t75" style="width:415.1pt;height:635.5pt" o:ole="">
            <v:imagedata r:id="rId9" o:title=""/>
          </v:shape>
          <o:OLEObject Type="Embed" ProgID="Visio.Drawing.11" ShapeID="_x0000_i1026" DrawAspect="Content" ObjectID="_1548166148" r:id="rId10"/>
        </w:object>
      </w:r>
    </w:p>
    <w:p w:rsidR="00B02433" w:rsidRDefault="00B02433">
      <w:pPr>
        <w:widowControl/>
      </w:pPr>
      <w:r>
        <w:br w:type="page"/>
      </w:r>
    </w:p>
    <w:p w:rsidR="00B02433" w:rsidRPr="00EC71B6" w:rsidRDefault="00EC71B6">
      <w:r>
        <w:object w:dxaOrig="9758" w:dyaOrig="15677">
          <v:shape id="_x0000_i1025" type="#_x0000_t75" style="width:415.1pt;height:666.8pt" o:ole="">
            <v:imagedata r:id="rId11" o:title=""/>
          </v:shape>
          <o:OLEObject Type="Embed" ProgID="Visio.Drawing.11" ShapeID="_x0000_i1025" DrawAspect="Content" ObjectID="_1548166149" r:id="rId12"/>
        </w:objec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lastRenderedPageBreak/>
        <w:t>註</w:t>
      </w:r>
      <w:proofErr w:type="gramEnd"/>
      <w:r w:rsidRPr="00B85FFA">
        <w:rPr>
          <w:rFonts w:cs="Arial" w:hint="eastAsia"/>
          <w:sz w:val="20"/>
          <w:szCs w:val="20"/>
        </w:rPr>
        <w:t>1、申請人應依工程性質函送工程相關資料</w:t>
      </w:r>
      <w:r w:rsidRPr="00B85FFA">
        <w:rPr>
          <w:rFonts w:cs="Arial" w:hint="eastAsia"/>
          <w:color w:val="FF0000"/>
          <w:sz w:val="20"/>
          <w:szCs w:val="20"/>
        </w:rPr>
        <w:t>6份</w:t>
      </w:r>
      <w:r w:rsidRPr="00B85FFA">
        <w:rPr>
          <w:rFonts w:cs="Arial" w:hint="eastAsia"/>
          <w:sz w:val="20"/>
          <w:szCs w:val="20"/>
        </w:rPr>
        <w:t>，如配置圖，設計圖、結構計算書、地質鑽探報告書、施工計畫書、施工說明書等資料。</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2、建造執照核發之圖說，若與原核發港工作業同意書核定之圖說有異，申請人應於建造執照核發後，向本分公司申請變更。</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3、申請人取得</w:t>
      </w:r>
      <w:r w:rsidRPr="00B85FFA">
        <w:rPr>
          <w:rFonts w:cs="Arial" w:hint="eastAsia"/>
          <w:color w:val="FF0000"/>
          <w:sz w:val="20"/>
          <w:szCs w:val="20"/>
        </w:rPr>
        <w:t>港工作業同意</w:t>
      </w:r>
      <w:r>
        <w:rPr>
          <w:rFonts w:cs="Arial" w:hint="eastAsia"/>
          <w:color w:val="FF0000"/>
          <w:sz w:val="20"/>
          <w:szCs w:val="20"/>
        </w:rPr>
        <w:t>函</w:t>
      </w:r>
      <w:r w:rsidRPr="00B85FFA">
        <w:rPr>
          <w:rFonts w:cs="Arial" w:hint="eastAsia"/>
          <w:sz w:val="20"/>
          <w:szCs w:val="20"/>
        </w:rPr>
        <w:t>後，如不須申辦建造執照者應於</w:t>
      </w:r>
      <w:r w:rsidRPr="00B85FFA">
        <w:rPr>
          <w:rFonts w:cs="Arial" w:hint="eastAsia"/>
          <w:color w:val="FF0000"/>
          <w:sz w:val="20"/>
          <w:szCs w:val="20"/>
        </w:rPr>
        <w:t>1個月內申報開工</w:t>
      </w:r>
      <w:r w:rsidRPr="00B85FFA">
        <w:rPr>
          <w:rFonts w:cs="Arial" w:hint="eastAsia"/>
          <w:sz w:val="20"/>
          <w:szCs w:val="20"/>
        </w:rPr>
        <w:t>，如必須申辦建造執照者，應於</w:t>
      </w:r>
      <w:r w:rsidRPr="00B85FFA">
        <w:rPr>
          <w:rFonts w:cs="Arial" w:hint="eastAsia"/>
          <w:color w:val="FF0000"/>
          <w:sz w:val="20"/>
          <w:szCs w:val="20"/>
        </w:rPr>
        <w:t>6個月內申報開工</w:t>
      </w:r>
      <w:r w:rsidRPr="00B85FFA">
        <w:rPr>
          <w:rFonts w:cs="Arial" w:hint="eastAsia"/>
          <w:sz w:val="20"/>
          <w:szCs w:val="20"/>
        </w:rPr>
        <w:t>，若無法於上述期限申報開工，則應敘明理由來函申請延長開工，否則已核發之港工作業</w:t>
      </w:r>
      <w:proofErr w:type="gramStart"/>
      <w:r w:rsidRPr="00B85FFA">
        <w:rPr>
          <w:rFonts w:cs="Arial" w:hint="eastAsia"/>
          <w:color w:val="FF0000"/>
          <w:sz w:val="20"/>
          <w:szCs w:val="20"/>
        </w:rPr>
        <w:t>同意</w:t>
      </w:r>
      <w:r>
        <w:rPr>
          <w:rFonts w:cs="Arial" w:hint="eastAsia"/>
          <w:color w:val="FF0000"/>
          <w:sz w:val="20"/>
          <w:szCs w:val="20"/>
        </w:rPr>
        <w:t>函</w:t>
      </w:r>
      <w:r>
        <w:rPr>
          <w:rFonts w:cs="Arial" w:hint="eastAsia"/>
          <w:sz w:val="20"/>
          <w:szCs w:val="20"/>
        </w:rPr>
        <w:t>失其</w:t>
      </w:r>
      <w:proofErr w:type="gramEnd"/>
      <w:r>
        <w:rPr>
          <w:rFonts w:cs="Arial" w:hint="eastAsia"/>
          <w:sz w:val="20"/>
          <w:szCs w:val="20"/>
        </w:rPr>
        <w:t>效力，須重新申辦</w:t>
      </w:r>
      <w:r w:rsidRPr="00B85FFA">
        <w:rPr>
          <w:rFonts w:cs="Arial" w:hint="eastAsia"/>
          <w:sz w:val="20"/>
          <w:szCs w:val="20"/>
        </w:rPr>
        <w:t>。</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4、申請人應於前述期限內以函文向本分公司申報開工(須申請建造執照者，申請人必須檢附建造執造影本、開工報告影本及施工進度表影本等)，待本分公司同意後，始可開工。</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5、申請人得以該開工同意函</w:t>
      </w:r>
      <w:proofErr w:type="gramStart"/>
      <w:r w:rsidRPr="00B85FFA">
        <w:rPr>
          <w:rFonts w:cs="Arial" w:hint="eastAsia"/>
          <w:sz w:val="20"/>
          <w:szCs w:val="20"/>
        </w:rPr>
        <w:t>逕</w:t>
      </w:r>
      <w:proofErr w:type="gramEnd"/>
      <w:r w:rsidRPr="00B85FFA">
        <w:rPr>
          <w:rFonts w:cs="Arial" w:hint="eastAsia"/>
          <w:sz w:val="20"/>
          <w:szCs w:val="20"/>
        </w:rPr>
        <w:t>向港警總隊申請進出港區管制區。</w:t>
      </w:r>
    </w:p>
    <w:p w:rsidR="00EC71B6" w:rsidRPr="00B85FFA" w:rsidRDefault="00EC71B6" w:rsidP="00EC71B6">
      <w:pPr>
        <w:pStyle w:val="3"/>
        <w:spacing w:beforeLines="0" w:before="0" w:line="300" w:lineRule="exact"/>
        <w:ind w:left="536" w:hangingChars="268" w:hanging="536"/>
        <w:rPr>
          <w:rFonts w:cs="Arial"/>
          <w:sz w:val="20"/>
          <w:szCs w:val="20"/>
        </w:rPr>
      </w:pPr>
      <w:bookmarkStart w:id="0" w:name="OLE_LINK1"/>
      <w:bookmarkStart w:id="1" w:name="OLE_LINK2"/>
      <w:proofErr w:type="gramStart"/>
      <w:r w:rsidRPr="00B85FFA">
        <w:rPr>
          <w:rFonts w:cs="Arial" w:hint="eastAsia"/>
          <w:sz w:val="20"/>
          <w:szCs w:val="20"/>
        </w:rPr>
        <w:t>註</w:t>
      </w:r>
      <w:proofErr w:type="gramEnd"/>
      <w:r w:rsidRPr="00B85FFA">
        <w:rPr>
          <w:rFonts w:cs="Arial" w:hint="eastAsia"/>
          <w:sz w:val="20"/>
          <w:szCs w:val="20"/>
        </w:rPr>
        <w:t>6、</w:t>
      </w:r>
      <w:bookmarkEnd w:id="0"/>
      <w:bookmarkEnd w:id="1"/>
      <w:r w:rsidRPr="00B85FFA">
        <w:rPr>
          <w:rFonts w:cs="Arial" w:hint="eastAsia"/>
          <w:sz w:val="20"/>
          <w:szCs w:val="20"/>
        </w:rPr>
        <w:t>本工程須於規定作業時間內完成，如需延長作業時間時，應徵得本分公司同意；本工程須切實依照本分公司核定圖說施工，如有變更設計，應徵得本分公司同意，否則本分公司得令拆除重做，申請人不得異議。</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7、本分公司督導事項如下：</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（1）申請人自建工程或合作興建產權歸屬申請人之案件，各項安全問題</w:t>
      </w:r>
      <w:r w:rsidR="009A4E26">
        <w:rPr>
          <w:rFonts w:cs="Arial" w:hint="eastAsia"/>
          <w:sz w:val="20"/>
          <w:szCs w:val="20"/>
        </w:rPr>
        <w:t>及交維影響範圍</w:t>
      </w:r>
      <w:r w:rsidRPr="00B85FFA">
        <w:rPr>
          <w:rFonts w:cs="Arial" w:hint="eastAsia"/>
          <w:sz w:val="20"/>
          <w:szCs w:val="20"/>
        </w:rPr>
        <w:t>由申請人自行負責，故督導事項如下：</w:t>
      </w:r>
      <w:bookmarkStart w:id="2" w:name="_GoBack"/>
      <w:bookmarkEnd w:id="2"/>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1.</w:t>
      </w:r>
      <w:proofErr w:type="gramStart"/>
      <w:r w:rsidRPr="00B85FFA">
        <w:rPr>
          <w:rFonts w:ascii="標楷體" w:eastAsia="標楷體" w:hAnsi="標楷體" w:cs="Arial" w:hint="eastAsia"/>
          <w:sz w:val="20"/>
        </w:rPr>
        <w:t>建址是否</w:t>
      </w:r>
      <w:proofErr w:type="gramEnd"/>
      <w:r w:rsidRPr="00B85FFA">
        <w:rPr>
          <w:rFonts w:ascii="標楷體" w:eastAsia="標楷體" w:hAnsi="標楷體" w:cs="Arial" w:hint="eastAsia"/>
          <w:sz w:val="20"/>
        </w:rPr>
        <w:t>依照申請之設計圖所示位置及範圍施工。</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2.施工期間是否會危及本分公司鄰近既有港埠設施之安全或影響港埠作業。</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3.完工後現場是否恢復原狀及清除乾淨。</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（2）申請人損壞本分公司設施自行修復之案件，施工品質管理，由申請人及其施工廠商負責品質保證與管理，本分公司負責工程品質督導，故督導事項如下：</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1.</w:t>
      </w:r>
      <w:proofErr w:type="gramStart"/>
      <w:r w:rsidRPr="00B85FFA">
        <w:rPr>
          <w:rFonts w:ascii="標楷體" w:eastAsia="標楷體" w:hAnsi="標楷體" w:cs="Arial" w:hint="eastAsia"/>
          <w:sz w:val="20"/>
        </w:rPr>
        <w:t>建址是否</w:t>
      </w:r>
      <w:proofErr w:type="gramEnd"/>
      <w:r w:rsidRPr="00B85FFA">
        <w:rPr>
          <w:rFonts w:ascii="標楷體" w:eastAsia="標楷體" w:hAnsi="標楷體" w:cs="Arial" w:hint="eastAsia"/>
          <w:sz w:val="20"/>
        </w:rPr>
        <w:t>依照申請之設計圖所示位置及範圍施工。</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2.施工期間是否會危及本分公司鄰近既有港埠設施之安全或影響港埠作業。</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3.於施工期間依預估工程經費大小，督導人應依照下列頻率次數辦理抽查，若未依核准圖說施工，應要求申請人改正，以確保工程品質。</w:t>
      </w:r>
    </w:p>
    <w:p w:rsidR="00EC71B6" w:rsidRPr="00B85FFA" w:rsidRDefault="00EC71B6" w:rsidP="00EC71B6">
      <w:pPr>
        <w:pStyle w:val="3"/>
        <w:spacing w:beforeLines="0" w:before="0" w:line="300" w:lineRule="exact"/>
        <w:ind w:leftChars="420" w:left="1068" w:hangingChars="30" w:hanging="60"/>
        <w:rPr>
          <w:rFonts w:cs="Arial"/>
          <w:sz w:val="20"/>
          <w:szCs w:val="20"/>
        </w:rPr>
      </w:pPr>
      <w:r w:rsidRPr="00B85FFA">
        <w:rPr>
          <w:rFonts w:cs="Arial" w:hint="eastAsia"/>
          <w:sz w:val="20"/>
          <w:szCs w:val="20"/>
        </w:rPr>
        <w:t>(1)經費未達100萬元者，視其必要性，辦理抽查。</w:t>
      </w:r>
    </w:p>
    <w:p w:rsidR="00EC71B6" w:rsidRPr="00B85FFA" w:rsidRDefault="00EC71B6" w:rsidP="00EC71B6">
      <w:pPr>
        <w:pStyle w:val="3"/>
        <w:spacing w:beforeLines="0" w:before="0" w:line="300" w:lineRule="exact"/>
        <w:ind w:leftChars="420" w:left="1068" w:hangingChars="30" w:hanging="60"/>
        <w:rPr>
          <w:rFonts w:cs="Arial"/>
          <w:sz w:val="20"/>
          <w:szCs w:val="20"/>
        </w:rPr>
      </w:pPr>
      <w:r w:rsidRPr="00B85FFA">
        <w:rPr>
          <w:rFonts w:cs="Arial" w:hint="eastAsia"/>
          <w:sz w:val="20"/>
          <w:szCs w:val="20"/>
        </w:rPr>
        <w:t>(2)經費在100萬元以上未達1000萬元者，應至少抽查1次。</w:t>
      </w:r>
    </w:p>
    <w:p w:rsidR="00EC71B6" w:rsidRPr="00B85FFA" w:rsidRDefault="00EC71B6" w:rsidP="00EC71B6">
      <w:pPr>
        <w:pStyle w:val="3"/>
        <w:spacing w:beforeLines="0" w:before="0" w:line="300" w:lineRule="exact"/>
        <w:ind w:leftChars="420" w:left="1068" w:hangingChars="30" w:hanging="60"/>
        <w:rPr>
          <w:rFonts w:cs="Arial"/>
          <w:sz w:val="20"/>
          <w:szCs w:val="20"/>
        </w:rPr>
      </w:pPr>
      <w:r w:rsidRPr="00B85FFA">
        <w:rPr>
          <w:rFonts w:cs="Arial" w:hint="eastAsia"/>
          <w:sz w:val="20"/>
          <w:szCs w:val="20"/>
        </w:rPr>
        <w:t>(3)經費在1000萬元以上未達5000萬元者，應至少抽查2次。</w:t>
      </w:r>
    </w:p>
    <w:p w:rsidR="00EC71B6" w:rsidRPr="00B85FFA" w:rsidRDefault="00EC71B6" w:rsidP="00EC71B6">
      <w:pPr>
        <w:pStyle w:val="3"/>
        <w:spacing w:beforeLines="0" w:before="0" w:line="300" w:lineRule="exact"/>
        <w:ind w:leftChars="420" w:left="1068" w:hangingChars="30" w:hanging="60"/>
        <w:rPr>
          <w:rFonts w:cs="Arial"/>
          <w:sz w:val="20"/>
          <w:szCs w:val="20"/>
        </w:rPr>
      </w:pPr>
      <w:r w:rsidRPr="00B85FFA">
        <w:rPr>
          <w:rFonts w:cs="Arial" w:hint="eastAsia"/>
          <w:sz w:val="20"/>
          <w:szCs w:val="20"/>
        </w:rPr>
        <w:t>(4)經費在5000萬元以上者應至少抽查3次。</w:t>
      </w:r>
    </w:p>
    <w:p w:rsidR="00EC71B6" w:rsidRPr="00B85FFA" w:rsidRDefault="00EC71B6" w:rsidP="00EC71B6">
      <w:pPr>
        <w:spacing w:line="300" w:lineRule="exact"/>
        <w:ind w:leftChars="365" w:left="1044" w:hangingChars="84" w:hanging="168"/>
        <w:rPr>
          <w:rFonts w:ascii="標楷體" w:eastAsia="標楷體" w:hAnsi="標楷體" w:cs="Arial"/>
          <w:sz w:val="20"/>
        </w:rPr>
      </w:pPr>
      <w:r w:rsidRPr="00B85FFA">
        <w:rPr>
          <w:rFonts w:ascii="標楷體" w:eastAsia="標楷體" w:hAnsi="標楷體" w:cs="Arial" w:hint="eastAsia"/>
          <w:sz w:val="20"/>
        </w:rPr>
        <w:t>4.完工後現場是否恢復原狀及清除乾淨。</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（3）合作興建工程產權歸屬本分公司之案件，應依本公司合作興建工程案辦理流程暨點驗程序辦理。</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（4）督導人如認為案件重大或複雜，可</w:t>
      </w:r>
      <w:proofErr w:type="gramStart"/>
      <w:r w:rsidRPr="00B85FFA">
        <w:rPr>
          <w:rFonts w:cs="Arial" w:hint="eastAsia"/>
          <w:sz w:val="20"/>
          <w:szCs w:val="20"/>
        </w:rPr>
        <w:t>簽請總工程</w:t>
      </w:r>
      <w:proofErr w:type="gramEnd"/>
      <w:r w:rsidRPr="00B85FFA">
        <w:rPr>
          <w:rFonts w:cs="Arial" w:hint="eastAsia"/>
          <w:sz w:val="20"/>
          <w:szCs w:val="20"/>
        </w:rPr>
        <w:t>司核准後，組成督導小組進行督導。</w:t>
      </w:r>
    </w:p>
    <w:p w:rsidR="00EC71B6" w:rsidRPr="00B85FFA" w:rsidRDefault="00EC71B6" w:rsidP="00EC71B6">
      <w:pPr>
        <w:pStyle w:val="3"/>
        <w:spacing w:beforeLines="0" w:before="0" w:line="300" w:lineRule="exact"/>
        <w:ind w:left="536" w:hangingChars="268" w:hanging="536"/>
        <w:rPr>
          <w:rFonts w:cs="Arial"/>
          <w:sz w:val="20"/>
          <w:szCs w:val="20"/>
        </w:rPr>
      </w:pPr>
      <w:proofErr w:type="gramStart"/>
      <w:r w:rsidRPr="00B85FFA">
        <w:rPr>
          <w:rFonts w:cs="Arial" w:hint="eastAsia"/>
          <w:sz w:val="20"/>
          <w:szCs w:val="20"/>
        </w:rPr>
        <w:t>註</w:t>
      </w:r>
      <w:proofErr w:type="gramEnd"/>
      <w:r w:rsidRPr="00B85FFA">
        <w:rPr>
          <w:rFonts w:cs="Arial" w:hint="eastAsia"/>
          <w:sz w:val="20"/>
          <w:szCs w:val="20"/>
        </w:rPr>
        <w:t>8、竣工後，申請人應檢附下列說明文件以函文</w:t>
      </w:r>
      <w:r w:rsidR="009A4E26">
        <w:rPr>
          <w:rFonts w:cs="Arial" w:hint="eastAsia"/>
          <w:sz w:val="20"/>
          <w:szCs w:val="20"/>
        </w:rPr>
        <w:t>方式</w:t>
      </w:r>
      <w:r w:rsidRPr="00B85FFA">
        <w:rPr>
          <w:rFonts w:cs="Arial" w:hint="eastAsia"/>
          <w:sz w:val="20"/>
          <w:szCs w:val="20"/>
        </w:rPr>
        <w:t>向本分公司申報竣工，待無其他待辦事項後，核發竣工同意函並請相關單位辦理點驗或相關作業後結案。</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（1）申請人自建工程或合作興建產權歸屬申請人之案件，申請人向本分公司申報竣工時，須繳</w:t>
      </w:r>
      <w:r>
        <w:rPr>
          <w:rFonts w:cs="Arial" w:hint="eastAsia"/>
          <w:sz w:val="20"/>
          <w:szCs w:val="20"/>
        </w:rPr>
        <w:t>交</w:t>
      </w:r>
      <w:r w:rsidRPr="00B85FFA">
        <w:rPr>
          <w:rFonts w:cs="Arial" w:hint="eastAsia"/>
          <w:sz w:val="20"/>
          <w:szCs w:val="20"/>
        </w:rPr>
        <w:t>竣工</w:t>
      </w:r>
      <w:r>
        <w:rPr>
          <w:rFonts w:cs="Arial" w:hint="eastAsia"/>
          <w:sz w:val="20"/>
          <w:szCs w:val="20"/>
        </w:rPr>
        <w:t>書</w:t>
      </w:r>
      <w:r w:rsidRPr="00B85FFA">
        <w:rPr>
          <w:rFonts w:cs="Arial" w:hint="eastAsia"/>
          <w:sz w:val="20"/>
          <w:szCs w:val="20"/>
        </w:rPr>
        <w:t>圖電子檔及</w:t>
      </w:r>
      <w:proofErr w:type="gramStart"/>
      <w:r w:rsidRPr="00B85FFA">
        <w:rPr>
          <w:rFonts w:cs="Arial" w:hint="eastAsia"/>
          <w:sz w:val="20"/>
          <w:szCs w:val="20"/>
        </w:rPr>
        <w:t>檢附本工程</w:t>
      </w:r>
      <w:proofErr w:type="gramEnd"/>
      <w:r w:rsidRPr="00B85FFA">
        <w:rPr>
          <w:rFonts w:cs="Arial" w:hint="eastAsia"/>
          <w:sz w:val="20"/>
          <w:szCs w:val="20"/>
        </w:rPr>
        <w:t>對本分公司相關設施之</w:t>
      </w:r>
      <w:proofErr w:type="gramStart"/>
      <w:r w:rsidRPr="00B85FFA">
        <w:rPr>
          <w:rFonts w:cs="Arial" w:hint="eastAsia"/>
          <w:sz w:val="20"/>
          <w:szCs w:val="20"/>
        </w:rPr>
        <w:t>保固切結</w:t>
      </w:r>
      <w:proofErr w:type="gramEnd"/>
      <w:r w:rsidRPr="00B85FFA">
        <w:rPr>
          <w:rFonts w:cs="Arial" w:hint="eastAsia"/>
          <w:sz w:val="20"/>
          <w:szCs w:val="20"/>
        </w:rPr>
        <w:t>書(除另有規定外保固期間1年)，於保固期間本分公司相關設施若有損壞，應由申請人負責修復。</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（2）申請人損壞本分公司設施自行修復之案件，申請人向本分公司申報竣工時，須繳</w:t>
      </w:r>
      <w:r>
        <w:rPr>
          <w:rFonts w:cs="Arial" w:hint="eastAsia"/>
          <w:sz w:val="20"/>
          <w:szCs w:val="20"/>
        </w:rPr>
        <w:t>交</w:t>
      </w:r>
      <w:r w:rsidRPr="00B85FFA">
        <w:rPr>
          <w:rFonts w:cs="Arial" w:hint="eastAsia"/>
          <w:sz w:val="20"/>
          <w:szCs w:val="20"/>
        </w:rPr>
        <w:t>竣工</w:t>
      </w:r>
      <w:r>
        <w:rPr>
          <w:rFonts w:cs="Arial" w:hint="eastAsia"/>
          <w:sz w:val="20"/>
          <w:szCs w:val="20"/>
        </w:rPr>
        <w:t>書</w:t>
      </w:r>
      <w:r w:rsidRPr="00B85FFA">
        <w:rPr>
          <w:rFonts w:cs="Arial" w:hint="eastAsia"/>
          <w:sz w:val="20"/>
          <w:szCs w:val="20"/>
        </w:rPr>
        <w:t>圖電子檔及檢附申請人自辦驗收合格之證明或紀錄與本工程之</w:t>
      </w:r>
      <w:proofErr w:type="gramStart"/>
      <w:r w:rsidRPr="00B85FFA">
        <w:rPr>
          <w:rFonts w:cs="Arial" w:hint="eastAsia"/>
          <w:sz w:val="20"/>
          <w:szCs w:val="20"/>
        </w:rPr>
        <w:t>保固切結</w:t>
      </w:r>
      <w:proofErr w:type="gramEnd"/>
      <w:r w:rsidRPr="00B85FFA">
        <w:rPr>
          <w:rFonts w:cs="Arial" w:hint="eastAsia"/>
          <w:sz w:val="20"/>
          <w:szCs w:val="20"/>
        </w:rPr>
        <w:t>書(除另有規定外保固期間1年) ，於保固期間本分公司設施若有損壞，應由申請人負責修復。</w:t>
      </w:r>
    </w:p>
    <w:p w:rsidR="00EC71B6" w:rsidRPr="00B85FFA" w:rsidRDefault="00EC71B6" w:rsidP="00EC71B6">
      <w:pPr>
        <w:pStyle w:val="2"/>
        <w:tabs>
          <w:tab w:val="clear" w:pos="120"/>
        </w:tabs>
        <w:spacing w:line="300" w:lineRule="exact"/>
        <w:ind w:leftChars="100" w:left="740" w:hangingChars="250" w:hanging="500"/>
        <w:rPr>
          <w:rFonts w:cs="Arial"/>
          <w:sz w:val="20"/>
          <w:szCs w:val="20"/>
        </w:rPr>
      </w:pPr>
      <w:r w:rsidRPr="00B85FFA">
        <w:rPr>
          <w:rFonts w:cs="Arial" w:hint="eastAsia"/>
          <w:sz w:val="20"/>
          <w:szCs w:val="20"/>
        </w:rPr>
        <w:t>（3）合作興建工程產權歸屬本分公司之案件，應繳</w:t>
      </w:r>
      <w:r>
        <w:rPr>
          <w:rFonts w:cs="Arial" w:hint="eastAsia"/>
          <w:sz w:val="20"/>
          <w:szCs w:val="20"/>
        </w:rPr>
        <w:t>交</w:t>
      </w:r>
      <w:r w:rsidRPr="00B85FFA">
        <w:rPr>
          <w:rFonts w:cs="Arial" w:hint="eastAsia"/>
          <w:sz w:val="20"/>
          <w:szCs w:val="20"/>
        </w:rPr>
        <w:t>竣工</w:t>
      </w:r>
      <w:r>
        <w:rPr>
          <w:rFonts w:cs="Arial" w:hint="eastAsia"/>
          <w:sz w:val="20"/>
          <w:szCs w:val="20"/>
        </w:rPr>
        <w:t>書圖電子檔</w:t>
      </w:r>
      <w:r w:rsidRPr="00B85FFA">
        <w:rPr>
          <w:rFonts w:cs="Arial" w:hint="eastAsia"/>
          <w:sz w:val="20"/>
          <w:szCs w:val="20"/>
        </w:rPr>
        <w:t>並依本公司合作興建工程案辦理流程暨點驗程序辦理。</w:t>
      </w:r>
    </w:p>
    <w:p w:rsidR="00EC71B6" w:rsidRPr="00B85FFA" w:rsidRDefault="00EC71B6" w:rsidP="00EC71B6">
      <w:pPr>
        <w:pStyle w:val="3"/>
        <w:spacing w:beforeLines="0" w:before="0" w:line="300" w:lineRule="exact"/>
        <w:ind w:left="594" w:hangingChars="297" w:hanging="594"/>
        <w:rPr>
          <w:rFonts w:cs="Arial"/>
          <w:sz w:val="20"/>
          <w:szCs w:val="20"/>
        </w:rPr>
      </w:pPr>
      <w:r w:rsidRPr="00B85FFA">
        <w:rPr>
          <w:rFonts w:cs="Arial" w:hint="eastAsia"/>
          <w:sz w:val="20"/>
          <w:szCs w:val="20"/>
        </w:rPr>
        <w:t>備註：本分公司財產拆除前，需先</w:t>
      </w:r>
      <w:r w:rsidRPr="00B85FFA">
        <w:rPr>
          <w:rFonts w:cs="Arial" w:hint="eastAsia"/>
          <w:color w:val="FF0000"/>
          <w:sz w:val="20"/>
          <w:szCs w:val="20"/>
        </w:rPr>
        <w:t>完成報廢程序</w:t>
      </w:r>
      <w:r w:rsidRPr="00B85FFA">
        <w:rPr>
          <w:rFonts w:cs="Arial" w:hint="eastAsia"/>
          <w:sz w:val="20"/>
          <w:szCs w:val="20"/>
        </w:rPr>
        <w:t>後，再申辦港工作業同意書，辦理拆除。</w:t>
      </w:r>
    </w:p>
    <w:p w:rsidR="00B02433" w:rsidRPr="00EC71B6" w:rsidRDefault="00B02433"/>
    <w:sectPr w:rsidR="00B02433" w:rsidRPr="00EC71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F5" w:rsidRDefault="005B4FF5" w:rsidP="00844D96">
      <w:r>
        <w:separator/>
      </w:r>
    </w:p>
  </w:endnote>
  <w:endnote w:type="continuationSeparator" w:id="0">
    <w:p w:rsidR="005B4FF5" w:rsidRDefault="005B4FF5" w:rsidP="008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F5" w:rsidRDefault="005B4FF5" w:rsidP="00844D96">
      <w:r>
        <w:separator/>
      </w:r>
    </w:p>
  </w:footnote>
  <w:footnote w:type="continuationSeparator" w:id="0">
    <w:p w:rsidR="005B4FF5" w:rsidRDefault="005B4FF5" w:rsidP="0084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33"/>
    <w:rsid w:val="000E4BAC"/>
    <w:rsid w:val="002D7B02"/>
    <w:rsid w:val="00344ECA"/>
    <w:rsid w:val="005B4FF5"/>
    <w:rsid w:val="00844D96"/>
    <w:rsid w:val="00872404"/>
    <w:rsid w:val="009A4E26"/>
    <w:rsid w:val="009F4803"/>
    <w:rsid w:val="00B02433"/>
    <w:rsid w:val="00D37619"/>
    <w:rsid w:val="00EC7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C71B6"/>
    <w:pPr>
      <w:tabs>
        <w:tab w:val="left" w:pos="120"/>
      </w:tabs>
      <w:spacing w:line="400" w:lineRule="exact"/>
      <w:ind w:leftChars="144" w:left="1440" w:hangingChars="342" w:hanging="1094"/>
    </w:pPr>
    <w:rPr>
      <w:rFonts w:ascii="標楷體" w:eastAsia="標楷體" w:hAnsi="標楷體" w:cs="Times New Roman"/>
      <w:sz w:val="32"/>
      <w:szCs w:val="24"/>
    </w:rPr>
  </w:style>
  <w:style w:type="character" w:customStyle="1" w:styleId="20">
    <w:name w:val="本文縮排 2 字元"/>
    <w:basedOn w:val="a0"/>
    <w:link w:val="2"/>
    <w:rsid w:val="00EC71B6"/>
    <w:rPr>
      <w:rFonts w:ascii="標楷體" w:eastAsia="標楷體" w:hAnsi="標楷體" w:cs="Times New Roman"/>
      <w:sz w:val="32"/>
      <w:szCs w:val="24"/>
    </w:rPr>
  </w:style>
  <w:style w:type="paragraph" w:styleId="3">
    <w:name w:val="Body Text Indent 3"/>
    <w:basedOn w:val="a"/>
    <w:link w:val="30"/>
    <w:rsid w:val="00EC71B6"/>
    <w:pPr>
      <w:spacing w:beforeLines="50" w:before="180" w:line="400" w:lineRule="exact"/>
      <w:ind w:left="640" w:hangingChars="200" w:hanging="640"/>
    </w:pPr>
    <w:rPr>
      <w:rFonts w:ascii="標楷體" w:eastAsia="標楷體" w:hAnsi="標楷體" w:cs="Times New Roman"/>
      <w:sz w:val="32"/>
      <w:szCs w:val="24"/>
    </w:rPr>
  </w:style>
  <w:style w:type="character" w:customStyle="1" w:styleId="30">
    <w:name w:val="本文縮排 3 字元"/>
    <w:basedOn w:val="a0"/>
    <w:link w:val="3"/>
    <w:rsid w:val="00EC71B6"/>
    <w:rPr>
      <w:rFonts w:ascii="標楷體" w:eastAsia="標楷體" w:hAnsi="標楷體" w:cs="Times New Roman"/>
      <w:sz w:val="32"/>
      <w:szCs w:val="24"/>
    </w:rPr>
  </w:style>
  <w:style w:type="paragraph" w:styleId="a3">
    <w:name w:val="header"/>
    <w:basedOn w:val="a"/>
    <w:link w:val="a4"/>
    <w:uiPriority w:val="99"/>
    <w:unhideWhenUsed/>
    <w:rsid w:val="00844D96"/>
    <w:pPr>
      <w:tabs>
        <w:tab w:val="center" w:pos="4153"/>
        <w:tab w:val="right" w:pos="8306"/>
      </w:tabs>
      <w:snapToGrid w:val="0"/>
    </w:pPr>
    <w:rPr>
      <w:sz w:val="20"/>
      <w:szCs w:val="20"/>
    </w:rPr>
  </w:style>
  <w:style w:type="character" w:customStyle="1" w:styleId="a4">
    <w:name w:val="頁首 字元"/>
    <w:basedOn w:val="a0"/>
    <w:link w:val="a3"/>
    <w:uiPriority w:val="99"/>
    <w:rsid w:val="00844D96"/>
    <w:rPr>
      <w:sz w:val="20"/>
      <w:szCs w:val="20"/>
    </w:rPr>
  </w:style>
  <w:style w:type="paragraph" w:styleId="a5">
    <w:name w:val="footer"/>
    <w:basedOn w:val="a"/>
    <w:link w:val="a6"/>
    <w:uiPriority w:val="99"/>
    <w:unhideWhenUsed/>
    <w:rsid w:val="00844D96"/>
    <w:pPr>
      <w:tabs>
        <w:tab w:val="center" w:pos="4153"/>
        <w:tab w:val="right" w:pos="8306"/>
      </w:tabs>
      <w:snapToGrid w:val="0"/>
    </w:pPr>
    <w:rPr>
      <w:sz w:val="20"/>
      <w:szCs w:val="20"/>
    </w:rPr>
  </w:style>
  <w:style w:type="character" w:customStyle="1" w:styleId="a6">
    <w:name w:val="頁尾 字元"/>
    <w:basedOn w:val="a0"/>
    <w:link w:val="a5"/>
    <w:uiPriority w:val="99"/>
    <w:rsid w:val="00844D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C71B6"/>
    <w:pPr>
      <w:tabs>
        <w:tab w:val="left" w:pos="120"/>
      </w:tabs>
      <w:spacing w:line="400" w:lineRule="exact"/>
      <w:ind w:leftChars="144" w:left="1440" w:hangingChars="342" w:hanging="1094"/>
    </w:pPr>
    <w:rPr>
      <w:rFonts w:ascii="標楷體" w:eastAsia="標楷體" w:hAnsi="標楷體" w:cs="Times New Roman"/>
      <w:sz w:val="32"/>
      <w:szCs w:val="24"/>
    </w:rPr>
  </w:style>
  <w:style w:type="character" w:customStyle="1" w:styleId="20">
    <w:name w:val="本文縮排 2 字元"/>
    <w:basedOn w:val="a0"/>
    <w:link w:val="2"/>
    <w:rsid w:val="00EC71B6"/>
    <w:rPr>
      <w:rFonts w:ascii="標楷體" w:eastAsia="標楷體" w:hAnsi="標楷體" w:cs="Times New Roman"/>
      <w:sz w:val="32"/>
      <w:szCs w:val="24"/>
    </w:rPr>
  </w:style>
  <w:style w:type="paragraph" w:styleId="3">
    <w:name w:val="Body Text Indent 3"/>
    <w:basedOn w:val="a"/>
    <w:link w:val="30"/>
    <w:rsid w:val="00EC71B6"/>
    <w:pPr>
      <w:spacing w:beforeLines="50" w:before="180" w:line="400" w:lineRule="exact"/>
      <w:ind w:left="640" w:hangingChars="200" w:hanging="640"/>
    </w:pPr>
    <w:rPr>
      <w:rFonts w:ascii="標楷體" w:eastAsia="標楷體" w:hAnsi="標楷體" w:cs="Times New Roman"/>
      <w:sz w:val="32"/>
      <w:szCs w:val="24"/>
    </w:rPr>
  </w:style>
  <w:style w:type="character" w:customStyle="1" w:styleId="30">
    <w:name w:val="本文縮排 3 字元"/>
    <w:basedOn w:val="a0"/>
    <w:link w:val="3"/>
    <w:rsid w:val="00EC71B6"/>
    <w:rPr>
      <w:rFonts w:ascii="標楷體" w:eastAsia="標楷體" w:hAnsi="標楷體" w:cs="Times New Roman"/>
      <w:sz w:val="32"/>
      <w:szCs w:val="24"/>
    </w:rPr>
  </w:style>
  <w:style w:type="paragraph" w:styleId="a3">
    <w:name w:val="header"/>
    <w:basedOn w:val="a"/>
    <w:link w:val="a4"/>
    <w:uiPriority w:val="99"/>
    <w:unhideWhenUsed/>
    <w:rsid w:val="00844D96"/>
    <w:pPr>
      <w:tabs>
        <w:tab w:val="center" w:pos="4153"/>
        <w:tab w:val="right" w:pos="8306"/>
      </w:tabs>
      <w:snapToGrid w:val="0"/>
    </w:pPr>
    <w:rPr>
      <w:sz w:val="20"/>
      <w:szCs w:val="20"/>
    </w:rPr>
  </w:style>
  <w:style w:type="character" w:customStyle="1" w:styleId="a4">
    <w:name w:val="頁首 字元"/>
    <w:basedOn w:val="a0"/>
    <w:link w:val="a3"/>
    <w:uiPriority w:val="99"/>
    <w:rsid w:val="00844D96"/>
    <w:rPr>
      <w:sz w:val="20"/>
      <w:szCs w:val="20"/>
    </w:rPr>
  </w:style>
  <w:style w:type="paragraph" w:styleId="a5">
    <w:name w:val="footer"/>
    <w:basedOn w:val="a"/>
    <w:link w:val="a6"/>
    <w:uiPriority w:val="99"/>
    <w:unhideWhenUsed/>
    <w:rsid w:val="00844D96"/>
    <w:pPr>
      <w:tabs>
        <w:tab w:val="center" w:pos="4153"/>
        <w:tab w:val="right" w:pos="8306"/>
      </w:tabs>
      <w:snapToGrid w:val="0"/>
    </w:pPr>
    <w:rPr>
      <w:sz w:val="20"/>
      <w:szCs w:val="20"/>
    </w:rPr>
  </w:style>
  <w:style w:type="character" w:customStyle="1" w:styleId="a6">
    <w:name w:val="頁尾 字元"/>
    <w:basedOn w:val="a0"/>
    <w:link w:val="a5"/>
    <w:uiPriority w:val="99"/>
    <w:rsid w:val="00844D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黃唯誠</dc:creator>
  <cp:lastModifiedBy>黃唯誠</cp:lastModifiedBy>
  <cp:revision>6</cp:revision>
  <dcterms:created xsi:type="dcterms:W3CDTF">2017-01-25T03:41:00Z</dcterms:created>
  <dcterms:modified xsi:type="dcterms:W3CDTF">2017-02-09T09:22:00Z</dcterms:modified>
</cp:coreProperties>
</file>